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F" w:rsidRPr="00F14236" w:rsidRDefault="00A61D5F" w:rsidP="00576A74">
      <w:pPr>
        <w:pStyle w:val="Inhopg1"/>
        <w:spacing w:before="240"/>
        <w:jc w:val="center"/>
        <w:rPr>
          <w:sz w:val="28"/>
          <w:szCs w:val="28"/>
          <w:lang w:val="en-US"/>
        </w:rPr>
      </w:pPr>
      <w:r w:rsidRPr="00F14236">
        <w:rPr>
          <w:sz w:val="28"/>
          <w:szCs w:val="28"/>
          <w:lang w:val="en-US"/>
        </w:rPr>
        <w:t>Kristof Baten</w:t>
      </w:r>
    </w:p>
    <w:p w:rsidR="00BF45BF" w:rsidRPr="00F14236" w:rsidRDefault="00BF45BF" w:rsidP="00576A74">
      <w:pPr>
        <w:jc w:val="center"/>
        <w:rPr>
          <w:sz w:val="28"/>
          <w:szCs w:val="28"/>
          <w:lang w:val="en-US" w:eastAsia="nl-NL"/>
        </w:rPr>
      </w:pPr>
    </w:p>
    <w:p w:rsidR="00BF45BF" w:rsidRPr="00F14236" w:rsidRDefault="00BF45BF" w:rsidP="00576A74">
      <w:pPr>
        <w:pStyle w:val="Inhopg1"/>
        <w:spacing w:beforeLines="0" w:line="240" w:lineRule="auto"/>
        <w:jc w:val="center"/>
        <w:rPr>
          <w:i/>
          <w:sz w:val="28"/>
          <w:szCs w:val="28"/>
          <w:lang w:val="en-US"/>
        </w:rPr>
      </w:pPr>
      <w:r w:rsidRPr="00F14236">
        <w:rPr>
          <w:i/>
          <w:sz w:val="28"/>
          <w:szCs w:val="28"/>
          <w:lang w:val="en-US"/>
        </w:rPr>
        <w:t>A Processability approach to the acquisition of the German case system by Dutch-speaking foreign language learners</w:t>
      </w:r>
    </w:p>
    <w:p w:rsidR="00A61D5F" w:rsidRPr="00F14236" w:rsidRDefault="00A61D5F" w:rsidP="00A61D5F">
      <w:pPr>
        <w:rPr>
          <w:lang w:val="en-US" w:eastAsia="nl-NL"/>
        </w:rPr>
      </w:pPr>
    </w:p>
    <w:p w:rsidR="00576A74" w:rsidRPr="00F14236" w:rsidRDefault="00576A74" w:rsidP="00576A74">
      <w:pPr>
        <w:jc w:val="center"/>
        <w:rPr>
          <w:lang w:val="en-US" w:eastAsia="nl-NL"/>
        </w:rPr>
      </w:pPr>
    </w:p>
    <w:p w:rsidR="00576A74" w:rsidRPr="00F14236" w:rsidRDefault="00576A74" w:rsidP="00A61D5F">
      <w:pPr>
        <w:rPr>
          <w:lang w:val="en-US" w:eastAsia="nl-NL"/>
        </w:rPr>
      </w:pPr>
    </w:p>
    <w:p w:rsidR="00576A74" w:rsidRPr="00F14236" w:rsidRDefault="00576A74" w:rsidP="00A61D5F">
      <w:pPr>
        <w:rPr>
          <w:lang w:val="en-US" w:eastAsia="nl-NL"/>
        </w:rPr>
      </w:pPr>
    </w:p>
    <w:p w:rsidR="00C70BD5" w:rsidRPr="00F14236" w:rsidRDefault="00654E9D" w:rsidP="00C70BD5">
      <w:pPr>
        <w:pStyle w:val="Inhopg1"/>
        <w:spacing w:before="240"/>
        <w:rPr>
          <w:lang w:val="en-US"/>
        </w:rPr>
      </w:pPr>
      <w:hyperlink w:anchor="_Toc287950379" w:history="1">
        <w:r w:rsidR="00C70BD5" w:rsidRPr="00F14236">
          <w:rPr>
            <w:rStyle w:val="Hyperlink"/>
            <w:lang w:val="en-US"/>
          </w:rPr>
          <w:t xml:space="preserve">Chapter </w:t>
        </w:r>
      </w:hyperlink>
      <w:r w:rsidR="00C70BD5" w:rsidRPr="00F14236">
        <w:rPr>
          <w:lang w:val="en-US"/>
        </w:rPr>
        <w:t>1 Introduction</w:t>
      </w:r>
    </w:p>
    <w:p w:rsidR="00EF016C" w:rsidRPr="00F14236" w:rsidRDefault="00654E9D" w:rsidP="00EF016C">
      <w:pPr>
        <w:pStyle w:val="Inhopg1"/>
        <w:spacing w:before="240"/>
        <w:rPr>
          <w:b w:val="0"/>
          <w:bCs w:val="0"/>
          <w:sz w:val="22"/>
          <w:lang w:val="en-US" w:eastAsia="nl-BE"/>
        </w:rPr>
      </w:pPr>
      <w:hyperlink w:anchor="_Toc287950379" w:history="1">
        <w:r w:rsidR="00EF016C" w:rsidRPr="00F14236">
          <w:rPr>
            <w:rStyle w:val="Hyperlink"/>
            <w:lang w:val="en-US"/>
          </w:rPr>
          <w:t>Chapter 2 The Developmental Problem in Second Language Acquisition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950380" w:history="1">
        <w:r w:rsidR="00EF016C" w:rsidRPr="00F14236">
          <w:rPr>
            <w:rStyle w:val="Hyperlink"/>
            <w:snapToGrid w:val="0"/>
            <w:w w:val="0"/>
            <w:lang w:val="en-GB"/>
          </w:rPr>
          <w:t>2.1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Introduction: A burgeoning research field</w:t>
        </w:r>
      </w:hyperlink>
    </w:p>
    <w:p w:rsidR="00EF016C" w:rsidRPr="00F14236" w:rsidRDefault="00654E9D" w:rsidP="00EF016C">
      <w:pPr>
        <w:pStyle w:val="Inhopg2"/>
        <w:rPr>
          <w:lang w:val="en-US"/>
        </w:rPr>
      </w:pPr>
      <w:hyperlink w:anchor="_Toc287950381" w:history="1">
        <w:r w:rsidR="00EF016C" w:rsidRPr="00F14236">
          <w:rPr>
            <w:rStyle w:val="Hyperlink"/>
            <w:snapToGrid w:val="0"/>
            <w:w w:val="0"/>
            <w:lang w:val="en-GB"/>
          </w:rPr>
          <w:t>2.2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Theoretical tenets of Processability Theory</w:t>
        </w:r>
      </w:hyperlink>
      <w:r w:rsidR="00A61D5F" w:rsidRPr="00F14236">
        <w:rPr>
          <w:lang w:val="en-US"/>
        </w:rPr>
        <w:t xml:space="preserve"> (PT)</w:t>
      </w:r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950382" w:history="1">
        <w:r w:rsidR="00EF016C" w:rsidRPr="00F14236">
          <w:rPr>
            <w:rStyle w:val="Hyperlink"/>
            <w:lang w:eastAsia="nl-BE"/>
          </w:rPr>
          <w:t>2.2.1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lang w:eastAsia="nl-BE"/>
          </w:rPr>
          <w:t>The underlying logic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950383" w:history="1">
        <w:r w:rsidR="00EF016C" w:rsidRPr="00F14236">
          <w:rPr>
            <w:rStyle w:val="Hyperlink"/>
            <w:lang w:val="en-GB"/>
          </w:rPr>
          <w:t>2.2.2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Language generation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950384" w:history="1">
        <w:r w:rsidR="00EF016C" w:rsidRPr="00F14236">
          <w:rPr>
            <w:rStyle w:val="Hyperlink"/>
            <w:lang w:val="en-GB"/>
          </w:rPr>
          <w:t>2.2.3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Linguistic knowledge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950385" w:history="1">
        <w:r w:rsidR="00EF016C" w:rsidRPr="00F14236">
          <w:rPr>
            <w:rStyle w:val="Hyperlink"/>
            <w:snapToGrid w:val="0"/>
            <w:w w:val="0"/>
            <w:lang w:val="en-GB"/>
          </w:rPr>
          <w:t>2.3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C70BD5" w:rsidRPr="00F14236">
          <w:rPr>
            <w:rStyle w:val="Hyperlink"/>
            <w:lang w:val="en-GB"/>
          </w:rPr>
          <w:t xml:space="preserve">Levelt’s and Bresnan’s </w:t>
        </w:r>
        <w:r w:rsidR="00EF016C" w:rsidRPr="00F14236">
          <w:rPr>
            <w:rStyle w:val="Hyperlink"/>
            <w:lang w:val="en-GB"/>
          </w:rPr>
          <w:t>formal models in relation to developmental sequences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950386" w:history="1">
        <w:r w:rsidR="00EF016C" w:rsidRPr="00F14236">
          <w:rPr>
            <w:rStyle w:val="Hyperlink"/>
            <w:lang w:eastAsia="nl-BE"/>
          </w:rPr>
          <w:t>2.3.1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lang w:eastAsia="nl-BE"/>
          </w:rPr>
          <w:t>Morphological development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950387" w:history="1">
        <w:r w:rsidR="00EF016C" w:rsidRPr="00F14236">
          <w:rPr>
            <w:rStyle w:val="Hyperlink"/>
            <w:lang w:eastAsia="nl-BE"/>
          </w:rPr>
          <w:t>2.3.2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lang w:eastAsia="nl-BE"/>
          </w:rPr>
          <w:t>Syntactic development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950388" w:history="1">
        <w:r w:rsidR="00EF016C" w:rsidRPr="00F14236">
          <w:rPr>
            <w:rStyle w:val="Hyperlink"/>
            <w:snapToGrid w:val="0"/>
            <w:w w:val="0"/>
            <w:lang w:val="en-GB"/>
          </w:rPr>
          <w:t>2.4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Application to German as a Second Language (GSL)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950389" w:history="1">
        <w:r w:rsidR="00EF016C" w:rsidRPr="00F14236">
          <w:rPr>
            <w:rStyle w:val="Hyperlink"/>
            <w:snapToGrid w:val="0"/>
            <w:w w:val="0"/>
            <w:lang w:val="en-GB"/>
          </w:rPr>
          <w:t>2.5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Conclusion</w:t>
        </w:r>
      </w:hyperlink>
    </w:p>
    <w:p w:rsidR="00EF016C" w:rsidRPr="00F14236" w:rsidRDefault="00EF016C" w:rsidP="004356AF">
      <w:pPr>
        <w:jc w:val="both"/>
        <w:rPr>
          <w:rFonts w:ascii="Gentium" w:hAnsi="Gentium"/>
          <w:lang w:val="en-GB"/>
        </w:rPr>
      </w:pPr>
    </w:p>
    <w:p w:rsidR="00EF016C" w:rsidRPr="00F14236" w:rsidRDefault="00654E9D" w:rsidP="00EF016C">
      <w:pPr>
        <w:pStyle w:val="Inhopg1"/>
        <w:spacing w:before="240"/>
        <w:rPr>
          <w:b w:val="0"/>
          <w:bCs w:val="0"/>
          <w:sz w:val="22"/>
          <w:lang w:val="en-US" w:eastAsia="nl-BE"/>
        </w:rPr>
      </w:pPr>
      <w:hyperlink w:anchor="_Toc287882843" w:history="1">
        <w:r w:rsidR="00EF016C" w:rsidRPr="00F14236">
          <w:rPr>
            <w:rStyle w:val="Hyperlink"/>
            <w:lang w:val="en-US"/>
          </w:rPr>
          <w:t xml:space="preserve">Chapter 3 The </w:t>
        </w:r>
        <w:r w:rsidR="009865B6" w:rsidRPr="00F14236">
          <w:rPr>
            <w:rStyle w:val="Hyperlink"/>
            <w:lang w:val="en-US"/>
          </w:rPr>
          <w:t xml:space="preserve">Acquisition of the </w:t>
        </w:r>
        <w:r w:rsidR="00EF016C" w:rsidRPr="00F14236">
          <w:rPr>
            <w:rStyle w:val="Hyperlink"/>
            <w:lang w:val="en-US"/>
          </w:rPr>
          <w:t>German Case System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882844" w:history="1">
        <w:r w:rsidR="00EF016C" w:rsidRPr="00F14236">
          <w:rPr>
            <w:rStyle w:val="Hyperlink"/>
            <w:snapToGrid w:val="0"/>
            <w:w w:val="0"/>
            <w:lang w:val="en-US"/>
          </w:rPr>
          <w:t>3.1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Introduction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882845" w:history="1">
        <w:r w:rsidR="00EF016C" w:rsidRPr="00F14236">
          <w:rPr>
            <w:rStyle w:val="Hyperlink"/>
            <w:snapToGrid w:val="0"/>
            <w:w w:val="0"/>
            <w:lang w:val="en-US"/>
          </w:rPr>
          <w:t>3.2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US"/>
          </w:rPr>
          <w:t>L1-acquisition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46" w:history="1">
        <w:r w:rsidR="00EF016C" w:rsidRPr="00F14236">
          <w:rPr>
            <w:rStyle w:val="Hyperlink"/>
          </w:rPr>
          <w:t>3.2.1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 xml:space="preserve">The </w:t>
        </w:r>
        <w:r w:rsidR="008319DF" w:rsidRPr="00F14236">
          <w:rPr>
            <w:rStyle w:val="Hyperlink"/>
          </w:rPr>
          <w:t>early</w:t>
        </w:r>
        <w:r w:rsidR="00EF016C" w:rsidRPr="00F14236">
          <w:rPr>
            <w:rStyle w:val="Hyperlink"/>
          </w:rPr>
          <w:t xml:space="preserve"> studies</w:t>
        </w:r>
      </w:hyperlink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47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3.2.1.1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Observations on developmental sequences</w:t>
        </w:r>
        <w:r w:rsidR="00EF016C" w:rsidRPr="00F14236">
          <w:rPr>
            <w:noProof/>
            <w:webHidden/>
            <w:lang w:val="en-US"/>
          </w:rPr>
          <w:tab/>
        </w:r>
      </w:hyperlink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48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3.2.1.2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Explaining the L1 developmental sequences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49" w:history="1">
        <w:r w:rsidR="00EF016C" w:rsidRPr="00F14236">
          <w:rPr>
            <w:rStyle w:val="Hyperlink"/>
            <w:rFonts w:eastAsia="SimSun"/>
          </w:rPr>
          <w:t>3.2.2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rFonts w:eastAsia="SimSun"/>
          </w:rPr>
          <w:t>Generative studies</w:t>
        </w:r>
      </w:hyperlink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50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3.2.2.1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Theoretical background</w:t>
        </w:r>
      </w:hyperlink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51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3.2.2.2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The onset of case development</w:t>
        </w:r>
      </w:hyperlink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52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3.2.2.3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The acquisition of the dative case: structural or lexical?</w:t>
        </w:r>
      </w:hyperlink>
      <w:r w:rsidR="00EF016C" w:rsidRPr="00F14236">
        <w:rPr>
          <w:rFonts w:eastAsia="Times New Roman"/>
          <w:noProof/>
          <w:lang w:val="en-US" w:eastAsia="nl-BE"/>
        </w:rPr>
        <w:t xml:space="preserve"> </w:t>
      </w:r>
    </w:p>
    <w:p w:rsidR="00EF016C" w:rsidRPr="00F14236" w:rsidRDefault="00654E9D" w:rsidP="00C70BD5">
      <w:pPr>
        <w:pStyle w:val="Inhopg4"/>
        <w:rPr>
          <w:rFonts w:eastAsia="Times New Roman"/>
          <w:noProof/>
          <w:lang w:val="en-US" w:eastAsia="nl-BE"/>
        </w:rPr>
      </w:pPr>
      <w:hyperlink w:anchor="_Toc287882853" w:history="1">
        <w:r w:rsidR="00EF016C" w:rsidRPr="00F14236">
          <w:rPr>
            <w:rStyle w:val="Hyperlink"/>
            <w:rFonts w:ascii="Gentium" w:hAnsi="Gentium"/>
            <w:noProof/>
            <w:lang w:val="en-US"/>
          </w:rPr>
          <w:t>3.2.2.4</w:t>
        </w:r>
        <w:r w:rsidR="00EF016C" w:rsidRPr="00F14236">
          <w:rPr>
            <w:rFonts w:eastAsia="Times New Roman"/>
            <w:noProof/>
            <w:lang w:val="en-US" w:eastAsia="nl-BE"/>
          </w:rPr>
          <w:tab/>
        </w:r>
        <w:r w:rsidR="00EF016C" w:rsidRPr="00F14236">
          <w:rPr>
            <w:rStyle w:val="Hyperlink"/>
            <w:rFonts w:ascii="Gentium" w:hAnsi="Gentium"/>
            <w:noProof/>
            <w:lang w:val="en-US"/>
          </w:rPr>
          <w:t>Conclusion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54" w:history="1">
        <w:r w:rsidR="00EF016C" w:rsidRPr="00F14236">
          <w:rPr>
            <w:rStyle w:val="Hyperlink"/>
          </w:rPr>
          <w:t>3.2.3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Functionalist approaches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55" w:history="1">
        <w:r w:rsidR="00EF016C" w:rsidRPr="00F14236">
          <w:rPr>
            <w:rStyle w:val="Hyperlink"/>
            <w:rFonts w:eastAsia="SimSun"/>
          </w:rPr>
          <w:t>3.2.4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  <w:rFonts w:eastAsia="SimSun"/>
          </w:rPr>
          <w:t>Summary</w:t>
        </w:r>
      </w:hyperlink>
    </w:p>
    <w:p w:rsidR="00EF016C" w:rsidRPr="00F14236" w:rsidRDefault="00654E9D" w:rsidP="00EF016C">
      <w:pPr>
        <w:pStyle w:val="Inhopg2"/>
        <w:rPr>
          <w:lang w:val="en-US"/>
        </w:rPr>
      </w:pPr>
      <w:hyperlink w:anchor="_Toc287882856" w:history="1">
        <w:r w:rsidR="00EF016C" w:rsidRPr="00F14236">
          <w:rPr>
            <w:rStyle w:val="Hyperlink"/>
            <w:rFonts w:eastAsia="SimSun"/>
            <w:snapToGrid w:val="0"/>
            <w:w w:val="0"/>
            <w:lang w:val="en-US"/>
          </w:rPr>
          <w:t>3.3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rFonts w:eastAsia="SimSun"/>
            <w:lang w:val="en-US"/>
          </w:rPr>
          <w:t>Second language acquisition</w:t>
        </w:r>
      </w:hyperlink>
    </w:p>
    <w:p w:rsidR="00576A74" w:rsidRPr="00F14236" w:rsidRDefault="00576A74" w:rsidP="00576A74">
      <w:pPr>
        <w:rPr>
          <w:lang w:val="en-US" w:eastAsia="nl-NL"/>
        </w:rPr>
      </w:pPr>
    </w:p>
    <w:p w:rsidR="00576A74" w:rsidRPr="00F14236" w:rsidRDefault="00576A74" w:rsidP="00576A74">
      <w:pPr>
        <w:rPr>
          <w:lang w:val="en-US" w:eastAsia="nl-NL"/>
        </w:rPr>
      </w:pPr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882857" w:history="1">
        <w:r w:rsidR="00EF016C" w:rsidRPr="00F14236">
          <w:rPr>
            <w:rStyle w:val="Hyperlink"/>
            <w:rFonts w:eastAsia="SimSun"/>
            <w:snapToGrid w:val="0"/>
            <w:w w:val="0"/>
            <w:lang w:val="en-US"/>
          </w:rPr>
          <w:t>3.4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rFonts w:eastAsia="SimSun"/>
            <w:lang w:val="en-US"/>
          </w:rPr>
          <w:t>Foreign language acquisition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58" w:history="1">
        <w:r w:rsidR="00EF016C" w:rsidRPr="00F14236">
          <w:rPr>
            <w:rStyle w:val="Hyperlink"/>
          </w:rPr>
          <w:t>3.4.1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An unexplored field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59" w:history="1">
        <w:r w:rsidR="00EF016C" w:rsidRPr="00F14236">
          <w:rPr>
            <w:rStyle w:val="Hyperlink"/>
          </w:rPr>
          <w:t>3.4.2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Contrastive/Error analysis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60" w:history="1">
        <w:r w:rsidR="00EF016C" w:rsidRPr="00F14236">
          <w:rPr>
            <w:rStyle w:val="Hyperlink"/>
          </w:rPr>
          <w:t>3.4.3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Developmental analysis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en-US" w:eastAsia="nl-BE"/>
        </w:rPr>
      </w:pPr>
      <w:hyperlink w:anchor="_Toc287882861" w:history="1">
        <w:r w:rsidR="00EF016C" w:rsidRPr="00F14236">
          <w:rPr>
            <w:rStyle w:val="Hyperlink"/>
            <w:snapToGrid w:val="0"/>
            <w:w w:val="0"/>
            <w:lang w:val="en-US"/>
          </w:rPr>
          <w:t>3.5</w:t>
        </w:r>
        <w:r w:rsidR="00EF016C" w:rsidRPr="00F14236">
          <w:rPr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A PT account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62" w:history="1">
        <w:r w:rsidR="00EF016C" w:rsidRPr="00F14236">
          <w:rPr>
            <w:rStyle w:val="Hyperlink"/>
          </w:rPr>
          <w:t>3.5.1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Case oppositions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63" w:history="1">
        <w:r w:rsidR="00EF016C" w:rsidRPr="00F14236">
          <w:rPr>
            <w:rStyle w:val="Hyperlink"/>
          </w:rPr>
          <w:t>3.5.2</w:t>
        </w:r>
        <w:r w:rsidR="00EF016C" w:rsidRPr="00F14236">
          <w:rPr>
            <w:sz w:val="22"/>
            <w:lang w:eastAsia="nl-BE"/>
          </w:rPr>
          <w:tab/>
        </w:r>
        <w:r w:rsidR="00C70BD5" w:rsidRPr="00F14236">
          <w:rPr>
            <w:sz w:val="22"/>
            <w:lang w:eastAsia="nl-BE"/>
          </w:rPr>
          <w:t>V</w:t>
        </w:r>
        <w:r w:rsidR="00EF016C" w:rsidRPr="00F14236">
          <w:rPr>
            <w:rStyle w:val="Hyperlink"/>
          </w:rPr>
          <w:t>erbal arguments vs. prepositional objects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64" w:history="1">
        <w:r w:rsidR="00EF016C" w:rsidRPr="00F14236">
          <w:rPr>
            <w:rStyle w:val="Hyperlink"/>
          </w:rPr>
          <w:t>3.5.3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The role of personal pronouns</w:t>
        </w:r>
      </w:hyperlink>
    </w:p>
    <w:p w:rsidR="00EF016C" w:rsidRPr="00F14236" w:rsidRDefault="00654E9D" w:rsidP="00EF016C">
      <w:pPr>
        <w:pStyle w:val="Inhopg3"/>
        <w:rPr>
          <w:sz w:val="22"/>
          <w:lang w:eastAsia="nl-BE"/>
        </w:rPr>
      </w:pPr>
      <w:hyperlink w:anchor="_Toc287882865" w:history="1">
        <w:r w:rsidR="00EF016C" w:rsidRPr="00F14236">
          <w:rPr>
            <w:rStyle w:val="Hyperlink"/>
          </w:rPr>
          <w:t>3.5.4</w:t>
        </w:r>
        <w:r w:rsidR="00EF016C" w:rsidRPr="00F14236">
          <w:rPr>
            <w:sz w:val="22"/>
            <w:lang w:eastAsia="nl-BE"/>
          </w:rPr>
          <w:tab/>
        </w:r>
        <w:r w:rsidR="00EF016C" w:rsidRPr="00F14236">
          <w:rPr>
            <w:rStyle w:val="Hyperlink"/>
          </w:rPr>
          <w:t>Developmental hypotheses</w:t>
        </w:r>
      </w:hyperlink>
    </w:p>
    <w:p w:rsidR="00EF016C" w:rsidRPr="00F14236" w:rsidRDefault="00654E9D" w:rsidP="00EF016C">
      <w:pPr>
        <w:pStyle w:val="Inhopg2"/>
        <w:rPr>
          <w:bCs w:val="0"/>
          <w:sz w:val="22"/>
          <w:lang w:val="nl-BE" w:eastAsia="nl-BE"/>
        </w:rPr>
      </w:pPr>
      <w:hyperlink w:anchor="_Toc287882866" w:history="1">
        <w:r w:rsidR="00EF016C" w:rsidRPr="00F14236">
          <w:rPr>
            <w:rStyle w:val="Hyperlink"/>
            <w:snapToGrid w:val="0"/>
            <w:w w:val="0"/>
          </w:rPr>
          <w:t>3.6</w:t>
        </w:r>
        <w:r w:rsidR="00EF016C" w:rsidRPr="00F14236">
          <w:rPr>
            <w:bCs w:val="0"/>
            <w:sz w:val="22"/>
            <w:lang w:val="nl-BE" w:eastAsia="nl-BE"/>
          </w:rPr>
          <w:tab/>
        </w:r>
        <w:r w:rsidR="00EF016C" w:rsidRPr="00F14236">
          <w:rPr>
            <w:rStyle w:val="Hyperlink"/>
          </w:rPr>
          <w:t>Conclusion</w:t>
        </w:r>
      </w:hyperlink>
    </w:p>
    <w:p w:rsidR="001D03CE" w:rsidRPr="00F14236" w:rsidRDefault="001D03CE" w:rsidP="004356AF">
      <w:pPr>
        <w:jc w:val="both"/>
        <w:rPr>
          <w:rFonts w:ascii="Gentium" w:hAnsi="Gentium"/>
          <w:lang w:val="en-GB"/>
        </w:rPr>
      </w:pPr>
    </w:p>
    <w:p w:rsidR="00EF016C" w:rsidRPr="00F14236" w:rsidRDefault="00654E9D" w:rsidP="00EF016C">
      <w:pPr>
        <w:pStyle w:val="Inhopg1"/>
        <w:spacing w:before="240"/>
        <w:rPr>
          <w:rFonts w:ascii="Calibri" w:hAnsi="Calibri"/>
          <w:b w:val="0"/>
          <w:bCs w:val="0"/>
          <w:sz w:val="22"/>
          <w:lang w:val="nl-BE" w:eastAsia="nl-BE"/>
        </w:rPr>
      </w:pPr>
      <w:r w:rsidRPr="00F14236">
        <w:rPr>
          <w:lang w:val="nl-BE"/>
        </w:rPr>
        <w:fldChar w:fldCharType="begin"/>
      </w:r>
      <w:r w:rsidR="00EF016C" w:rsidRPr="00F14236">
        <w:rPr>
          <w:lang w:val="nl-BE"/>
        </w:rPr>
        <w:instrText xml:space="preserve"> TOC \o "1-4" \h \z \u </w:instrText>
      </w:r>
      <w:r w:rsidRPr="00F14236">
        <w:rPr>
          <w:lang w:val="nl-BE"/>
        </w:rPr>
        <w:fldChar w:fldCharType="separate"/>
      </w:r>
      <w:hyperlink w:anchor="_Toc287950586" w:history="1">
        <w:r w:rsidR="00EF016C" w:rsidRPr="00F14236">
          <w:rPr>
            <w:rStyle w:val="Hyperlink"/>
          </w:rPr>
          <w:t>Chapter 4</w:t>
        </w:r>
      </w:hyperlink>
      <w:r w:rsidR="00EF016C" w:rsidRPr="00F14236">
        <w:t xml:space="preserve"> </w:t>
      </w:r>
      <w:hyperlink w:anchor="_Toc287950587" w:history="1">
        <w:r w:rsidR="00EF016C" w:rsidRPr="00F14236">
          <w:rPr>
            <w:rStyle w:val="Hyperlink"/>
          </w:rPr>
          <w:t>Methodology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nl-BE" w:eastAsia="nl-BE"/>
        </w:rPr>
      </w:pPr>
      <w:hyperlink w:anchor="_Toc287950588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4.1</w:t>
        </w:r>
        <w:r w:rsidR="00EF016C" w:rsidRPr="00F14236">
          <w:rPr>
            <w:rFonts w:ascii="Calibri" w:hAnsi="Calibri"/>
            <w:bCs w:val="0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Introduction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nl-BE" w:eastAsia="nl-BE"/>
        </w:rPr>
      </w:pPr>
      <w:hyperlink w:anchor="_Toc287950589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4.2</w:t>
        </w:r>
        <w:r w:rsidR="00EF016C" w:rsidRPr="00F14236">
          <w:rPr>
            <w:rFonts w:ascii="Calibri" w:hAnsi="Calibri"/>
            <w:bCs w:val="0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Corpus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val="nl-BE" w:eastAsia="nl-BE"/>
        </w:rPr>
      </w:pPr>
      <w:hyperlink w:anchor="_Toc287950590" w:history="1">
        <w:r w:rsidR="00EF016C" w:rsidRPr="00F14236">
          <w:rPr>
            <w:rStyle w:val="Hyperlink"/>
            <w:rFonts w:ascii="Cambria" w:hAnsi="Cambria"/>
            <w:lang w:val="en-GB"/>
          </w:rPr>
          <w:t>4.2.1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Participants</w:t>
        </w:r>
      </w:hyperlink>
    </w:p>
    <w:p w:rsidR="00EF016C" w:rsidRPr="00F14236" w:rsidRDefault="00654E9D" w:rsidP="00EF016C">
      <w:pPr>
        <w:pStyle w:val="Inhopg3"/>
      </w:pPr>
      <w:hyperlink w:anchor="_Toc287950591" w:history="1">
        <w:r w:rsidR="00EF016C" w:rsidRPr="00F14236">
          <w:rPr>
            <w:rStyle w:val="Hyperlink"/>
            <w:rFonts w:ascii="Cambria" w:hAnsi="Cambria"/>
            <w:lang w:val="en-GB"/>
          </w:rPr>
          <w:t>4.2.2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Data elicitation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val="nl-BE" w:eastAsia="nl-BE"/>
        </w:rPr>
      </w:pPr>
      <w:hyperlink w:anchor="_Toc287950592" w:history="1">
        <w:r w:rsidR="00EF016C" w:rsidRPr="00F14236">
          <w:rPr>
            <w:rStyle w:val="Hyperlink"/>
            <w:rFonts w:ascii="Cambria" w:hAnsi="Cambria"/>
            <w:lang w:val="en-GB"/>
          </w:rPr>
          <w:t>4.2.3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Transcription and coding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val="nl-BE" w:eastAsia="nl-BE"/>
        </w:rPr>
      </w:pPr>
      <w:hyperlink w:anchor="_Toc287950593" w:history="1">
        <w:r w:rsidR="00EF016C" w:rsidRPr="00F14236">
          <w:rPr>
            <w:rStyle w:val="Hyperlink"/>
            <w:rFonts w:ascii="Cambria" w:hAnsi="Cambria"/>
            <w:lang w:val="en-GB"/>
          </w:rPr>
          <w:t>4.2.4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Data set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nl-BE" w:eastAsia="nl-BE"/>
        </w:rPr>
      </w:pPr>
      <w:hyperlink w:anchor="_Toc287950594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4.3</w:t>
        </w:r>
        <w:r w:rsidR="00EF016C" w:rsidRPr="00F14236">
          <w:rPr>
            <w:rFonts w:ascii="Calibri" w:hAnsi="Calibri"/>
            <w:bCs w:val="0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Data analysis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val="nl-BE" w:eastAsia="nl-BE"/>
        </w:rPr>
      </w:pPr>
      <w:hyperlink w:anchor="_Toc287950595" w:history="1">
        <w:r w:rsidR="00EF016C" w:rsidRPr="00F14236">
          <w:rPr>
            <w:rStyle w:val="Hyperlink"/>
            <w:rFonts w:ascii="Cambria" w:hAnsi="Cambria"/>
            <w:lang w:val="en-GB"/>
          </w:rPr>
          <w:t>4.3.1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  <w:lang w:val="en-GB"/>
          </w:rPr>
          <w:t>Form-</w:t>
        </w:r>
        <w:r w:rsidR="00A61D5F" w:rsidRPr="00F14236">
          <w:rPr>
            <w:rStyle w:val="Hyperlink"/>
            <w:lang w:val="en-GB"/>
          </w:rPr>
          <w:t>f</w:t>
        </w:r>
        <w:r w:rsidR="00EF016C" w:rsidRPr="00F14236">
          <w:rPr>
            <w:rStyle w:val="Hyperlink"/>
            <w:lang w:val="en-GB"/>
          </w:rPr>
          <w:t xml:space="preserve">unction </w:t>
        </w:r>
        <w:r w:rsidR="00A61D5F" w:rsidRPr="00F14236">
          <w:rPr>
            <w:rStyle w:val="Hyperlink"/>
            <w:lang w:val="en-GB"/>
          </w:rPr>
          <w:t>r</w:t>
        </w:r>
        <w:r w:rsidR="00EF016C" w:rsidRPr="00F14236">
          <w:rPr>
            <w:rStyle w:val="Hyperlink"/>
            <w:lang w:val="en-GB"/>
          </w:rPr>
          <w:t>elationships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val="nl-BE" w:eastAsia="nl-BE"/>
        </w:rPr>
      </w:pPr>
      <w:hyperlink w:anchor="_Toc287950596" w:history="1">
        <w:r w:rsidR="00EF016C" w:rsidRPr="00F14236">
          <w:rPr>
            <w:rStyle w:val="Hyperlink"/>
            <w:rFonts w:ascii="Cambria" w:hAnsi="Cambria"/>
          </w:rPr>
          <w:t>4.3.2</w:t>
        </w:r>
        <w:r w:rsidR="00EF016C" w:rsidRPr="00F14236">
          <w:rPr>
            <w:rFonts w:ascii="Calibri" w:hAnsi="Calibri"/>
            <w:sz w:val="22"/>
            <w:lang w:val="nl-BE" w:eastAsia="nl-BE"/>
          </w:rPr>
          <w:tab/>
        </w:r>
        <w:r w:rsidR="00EF016C" w:rsidRPr="00F14236">
          <w:rPr>
            <w:rStyle w:val="Hyperlink"/>
          </w:rPr>
          <w:t>Emergence criterion</w:t>
        </w:r>
      </w:hyperlink>
    </w:p>
    <w:p w:rsidR="00EF016C" w:rsidRPr="00F14236" w:rsidRDefault="00654E9D" w:rsidP="00EF016C">
      <w:pPr>
        <w:pStyle w:val="Inhopg1"/>
        <w:spacing w:before="240"/>
        <w:rPr>
          <w:rFonts w:ascii="Calibri" w:hAnsi="Calibri"/>
          <w:b w:val="0"/>
          <w:bCs w:val="0"/>
          <w:sz w:val="22"/>
          <w:lang w:val="en-US" w:eastAsia="nl-BE"/>
        </w:rPr>
      </w:pPr>
      <w:r w:rsidRPr="00F14236">
        <w:rPr>
          <w:lang w:val="nl-BE"/>
        </w:rPr>
        <w:fldChar w:fldCharType="end"/>
      </w:r>
      <w:hyperlink w:anchor="_Toc288138348" w:history="1">
        <w:r w:rsidR="00EF016C" w:rsidRPr="00F14236">
          <w:rPr>
            <w:rStyle w:val="Hyperlink"/>
            <w:lang w:val="en-US"/>
          </w:rPr>
          <w:t>Chapter 5 Results and discussion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en-US" w:eastAsia="nl-BE"/>
        </w:rPr>
      </w:pPr>
      <w:hyperlink w:anchor="_Toc288138349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5.1</w:t>
        </w:r>
        <w:r w:rsidR="00EF016C" w:rsidRPr="00F14236">
          <w:rPr>
            <w:rFonts w:ascii="Calibri" w:hAnsi="Calibri"/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Introduction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en-US" w:eastAsia="nl-BE"/>
        </w:rPr>
      </w:pPr>
      <w:hyperlink w:anchor="_Toc288138350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5.2</w:t>
        </w:r>
        <w:r w:rsidR="00EF016C" w:rsidRPr="00F14236">
          <w:rPr>
            <w:rFonts w:ascii="Calibri" w:hAnsi="Calibri"/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Syntactic development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51" w:history="1">
        <w:r w:rsidR="00EF016C" w:rsidRPr="00F14236">
          <w:rPr>
            <w:rStyle w:val="Hyperlink"/>
            <w:rFonts w:ascii="Cambria" w:hAnsi="Cambria"/>
            <w:lang w:val="en-GB"/>
          </w:rPr>
          <w:t>5.2.1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Unmarked alignment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2" w:history="1">
        <w:r w:rsidR="00EF016C" w:rsidRPr="00F14236">
          <w:rPr>
            <w:rStyle w:val="Hyperlink"/>
            <w:noProof/>
            <w:lang w:val="en-GB"/>
          </w:rPr>
          <w:t>5.2.1.1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Canonical syntactic structures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3" w:history="1">
        <w:r w:rsidR="00EF016C" w:rsidRPr="00F14236">
          <w:rPr>
            <w:rStyle w:val="Hyperlink"/>
            <w:noProof/>
            <w:lang w:val="en-GB"/>
          </w:rPr>
          <w:t>5.2.1.2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“Case” markers in preverbal subjects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4" w:history="1">
        <w:r w:rsidR="00EF016C" w:rsidRPr="00F14236">
          <w:rPr>
            <w:rStyle w:val="Hyperlink"/>
            <w:noProof/>
            <w:lang w:val="en-US"/>
          </w:rPr>
          <w:t>5.2.1.3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“Case” markers in postverbal objects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5" w:history="1">
        <w:r w:rsidR="00EF016C" w:rsidRPr="00F14236">
          <w:rPr>
            <w:rStyle w:val="Hyperlink"/>
            <w:noProof/>
            <w:lang w:val="en-GB"/>
          </w:rPr>
          <w:t>5.2.1.4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Developments in the intra-stage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6" w:history="1">
        <w:r w:rsidR="00EF016C" w:rsidRPr="00F14236">
          <w:rPr>
            <w:rStyle w:val="Hyperlink"/>
            <w:noProof/>
            <w:lang w:val="en-GB"/>
          </w:rPr>
          <w:t>5.2.1.5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Conclusion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57" w:history="1">
        <w:r w:rsidR="00EF016C" w:rsidRPr="00F14236">
          <w:rPr>
            <w:rStyle w:val="Hyperlink"/>
            <w:rFonts w:ascii="Cambria" w:hAnsi="Cambria"/>
            <w:lang w:val="en-GB"/>
          </w:rPr>
          <w:t>5.2.2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XP + unmarked alignment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58" w:history="1">
        <w:r w:rsidR="00EF016C" w:rsidRPr="00F14236">
          <w:rPr>
            <w:rStyle w:val="Hyperlink"/>
            <w:rFonts w:ascii="Cambria" w:hAnsi="Cambria"/>
            <w:lang w:val="en-GB"/>
          </w:rPr>
          <w:t>5.2.3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Marked alignment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59" w:history="1">
        <w:r w:rsidR="00EF016C" w:rsidRPr="00F14236">
          <w:rPr>
            <w:rStyle w:val="Hyperlink"/>
            <w:noProof/>
            <w:lang w:val="en-GB"/>
          </w:rPr>
          <w:t>5.2.3.1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XP VS(O)</w:t>
        </w:r>
      </w:hyperlink>
      <w:r w:rsidR="00EF016C" w:rsidRPr="00F14236">
        <w:rPr>
          <w:rFonts w:ascii="Calibri" w:eastAsia="Times New Roman" w:hAnsi="Calibri"/>
          <w:noProof/>
          <w:sz w:val="22"/>
          <w:szCs w:val="22"/>
          <w:lang w:val="en-US" w:eastAsia="nl-BE"/>
        </w:rPr>
        <w:t xml:space="preserve"> </w:t>
      </w:r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0" w:history="1">
        <w:r w:rsidR="00EF016C" w:rsidRPr="00F14236">
          <w:rPr>
            <w:rStyle w:val="Hyperlink"/>
            <w:noProof/>
            <w:lang w:val="en-GB"/>
          </w:rPr>
          <w:t>5.2.3.2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OVS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1" w:history="1">
        <w:r w:rsidR="00EF016C" w:rsidRPr="00F14236">
          <w:rPr>
            <w:rStyle w:val="Hyperlink"/>
            <w:noProof/>
            <w:lang w:val="en-GB" w:eastAsia="nl-BE"/>
          </w:rPr>
          <w:t>5.2.3.3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 w:eastAsia="nl-BE"/>
          </w:rPr>
          <w:t>Elliptic constructions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2" w:history="1">
        <w:r w:rsidR="00EF016C" w:rsidRPr="00F14236">
          <w:rPr>
            <w:rStyle w:val="Hyperlink"/>
            <w:noProof/>
            <w:lang w:val="en-GB" w:eastAsia="nl-BE"/>
          </w:rPr>
          <w:t>5.2.3.4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 w:eastAsia="nl-BE"/>
          </w:rPr>
          <w:t>Passives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3" w:history="1">
        <w:r w:rsidR="00EF016C" w:rsidRPr="00F14236">
          <w:rPr>
            <w:rStyle w:val="Hyperlink"/>
            <w:noProof/>
            <w:lang w:val="en-GB"/>
          </w:rPr>
          <w:t>5.2.3.5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Conclusion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64" w:history="1">
        <w:r w:rsidR="00EF016C" w:rsidRPr="00F14236">
          <w:rPr>
            <w:rStyle w:val="Hyperlink"/>
            <w:rFonts w:ascii="Cambria" w:hAnsi="Cambria"/>
            <w:lang w:val="en-GB"/>
          </w:rPr>
          <w:t>5.2.4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Implicational scaling of morpho-syntactic development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65" w:history="1">
        <w:r w:rsidR="00EF016C" w:rsidRPr="00F14236">
          <w:rPr>
            <w:rStyle w:val="Hyperlink"/>
            <w:rFonts w:ascii="Cambria" w:hAnsi="Cambria"/>
            <w:lang w:val="en-GB"/>
          </w:rPr>
          <w:t>5.2.5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Ditransitive constructions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6" w:history="1">
        <w:r w:rsidR="00EF016C" w:rsidRPr="00F14236">
          <w:rPr>
            <w:rStyle w:val="Hyperlink"/>
            <w:noProof/>
            <w:lang w:val="en-GB"/>
          </w:rPr>
          <w:t>5.2.5.1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Options to express the indirect object (OBLθ)</w:t>
        </w:r>
      </w:hyperlink>
      <w:r w:rsidR="00EF016C" w:rsidRPr="00F14236">
        <w:rPr>
          <w:rFonts w:ascii="Calibri" w:eastAsia="Times New Roman" w:hAnsi="Calibri"/>
          <w:noProof/>
          <w:sz w:val="22"/>
          <w:szCs w:val="22"/>
          <w:lang w:val="en-US" w:eastAsia="nl-BE"/>
        </w:rPr>
        <w:t xml:space="preserve"> </w:t>
      </w:r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7" w:history="1">
        <w:r w:rsidR="00EF016C" w:rsidRPr="00F14236">
          <w:rPr>
            <w:rStyle w:val="Hyperlink"/>
            <w:noProof/>
            <w:lang w:val="en-US"/>
          </w:rPr>
          <w:t>5.2.5.2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The indirect object as a prepositional phrase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8" w:history="1">
        <w:r w:rsidR="00EF016C" w:rsidRPr="00F14236">
          <w:rPr>
            <w:rStyle w:val="Hyperlink"/>
            <w:noProof/>
            <w:lang w:val="en-US"/>
          </w:rPr>
          <w:t>5.2.5.3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 xml:space="preserve">Position marking of the </w:t>
        </w:r>
        <w:r w:rsidR="00A61D5F" w:rsidRPr="00F14236">
          <w:rPr>
            <w:rStyle w:val="Hyperlink"/>
            <w:noProof/>
            <w:lang w:val="en-US"/>
          </w:rPr>
          <w:t>indirect object direct object</w:t>
        </w:r>
        <w:r w:rsidR="00EF016C" w:rsidRPr="00F14236">
          <w:rPr>
            <w:rStyle w:val="Hyperlink"/>
            <w:noProof/>
            <w:lang w:val="en-US"/>
          </w:rPr>
          <w:t xml:space="preserve"> sequence?</w:t>
        </w:r>
      </w:hyperlink>
      <w:r w:rsidR="00EF016C" w:rsidRPr="00F14236">
        <w:rPr>
          <w:rFonts w:ascii="Calibri" w:eastAsia="Times New Roman" w:hAnsi="Calibri"/>
          <w:noProof/>
          <w:sz w:val="22"/>
          <w:szCs w:val="22"/>
          <w:lang w:val="en-US" w:eastAsia="nl-BE"/>
        </w:rPr>
        <w:t xml:space="preserve"> </w:t>
      </w:r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69" w:history="1">
        <w:r w:rsidR="00EF016C" w:rsidRPr="00F14236">
          <w:rPr>
            <w:rStyle w:val="Hyperlink"/>
            <w:noProof/>
            <w:lang w:val="en-US"/>
          </w:rPr>
          <w:t>5.2.5.4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Functional case assignment of the indirect object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70" w:history="1">
        <w:r w:rsidR="00EF016C" w:rsidRPr="00F14236">
          <w:rPr>
            <w:rStyle w:val="Hyperlink"/>
            <w:noProof/>
            <w:lang w:val="en-US"/>
          </w:rPr>
          <w:t>5.2.5.5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From unmarked mapping to marked mapping with functional case assignment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71" w:history="1">
        <w:r w:rsidR="00EF016C" w:rsidRPr="00F14236">
          <w:rPr>
            <w:rStyle w:val="Hyperlink"/>
            <w:rFonts w:ascii="Cambria" w:hAnsi="Cambria"/>
            <w:lang w:val="en-GB"/>
          </w:rPr>
          <w:t>5.2.6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COMP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72" w:history="1">
        <w:r w:rsidR="00EF016C" w:rsidRPr="00F14236">
          <w:rPr>
            <w:rStyle w:val="Hyperlink"/>
            <w:rFonts w:ascii="Cambria" w:hAnsi="Cambria"/>
            <w:lang w:val="en-GB"/>
          </w:rPr>
          <w:t>5.2.7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 xml:space="preserve">Conclusion </w:t>
        </w:r>
      </w:hyperlink>
    </w:p>
    <w:p w:rsidR="00EF016C" w:rsidRPr="00F14236" w:rsidRDefault="00654E9D" w:rsidP="00EF016C">
      <w:pPr>
        <w:pStyle w:val="Inhopg2"/>
        <w:rPr>
          <w:rFonts w:ascii="Calibri" w:hAnsi="Calibri"/>
          <w:bCs w:val="0"/>
          <w:sz w:val="22"/>
          <w:lang w:val="en-US" w:eastAsia="nl-BE"/>
        </w:rPr>
      </w:pPr>
      <w:hyperlink w:anchor="_Toc288138373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GB"/>
          </w:rPr>
          <w:t>5.3</w:t>
        </w:r>
        <w:r w:rsidR="00EF016C" w:rsidRPr="00F14236">
          <w:rPr>
            <w:rFonts w:ascii="Calibri" w:hAnsi="Calibri"/>
            <w:bCs w:val="0"/>
            <w:sz w:val="22"/>
            <w:lang w:val="en-US" w:eastAsia="nl-BE"/>
          </w:rPr>
          <w:tab/>
        </w:r>
        <w:r w:rsidR="00EF016C" w:rsidRPr="00F14236">
          <w:rPr>
            <w:rStyle w:val="Hyperlink"/>
            <w:lang w:val="en-GB"/>
          </w:rPr>
          <w:t>Morphological development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74" w:history="1">
        <w:r w:rsidR="00EF016C" w:rsidRPr="00F14236">
          <w:rPr>
            <w:rStyle w:val="Hyperlink"/>
            <w:rFonts w:ascii="Cambria" w:hAnsi="Cambria"/>
            <w:lang w:val="en-GB"/>
          </w:rPr>
          <w:t>5.3.1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Introduction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75" w:history="1">
        <w:r w:rsidR="00EF016C" w:rsidRPr="00F14236">
          <w:rPr>
            <w:rStyle w:val="Hyperlink"/>
            <w:rFonts w:ascii="Cambria" w:hAnsi="Cambria"/>
            <w:lang w:val="en-GB"/>
          </w:rPr>
          <w:t>5.3.2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Prepositional phrases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76" w:history="1">
        <w:r w:rsidR="00EF016C" w:rsidRPr="00F14236">
          <w:rPr>
            <w:rStyle w:val="Hyperlink"/>
            <w:noProof/>
            <w:lang w:val="en-GB"/>
          </w:rPr>
          <w:t>5.3.2.1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Case development with regard to one-way prepositions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77" w:history="1">
        <w:r w:rsidR="00EF016C" w:rsidRPr="00F14236">
          <w:rPr>
            <w:rStyle w:val="Hyperlink"/>
            <w:noProof/>
            <w:lang w:val="en-GB"/>
          </w:rPr>
          <w:t>5.3.2.2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GB"/>
          </w:rPr>
          <w:t>Interface between morphological and syntactic development of case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78" w:history="1">
        <w:r w:rsidR="00EF016C" w:rsidRPr="00F14236">
          <w:rPr>
            <w:rStyle w:val="Hyperlink"/>
            <w:noProof/>
            <w:lang w:val="en-US"/>
          </w:rPr>
          <w:t>5.3.2.3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Case development with regard to two-way prepositions</w:t>
        </w:r>
      </w:hyperlink>
    </w:p>
    <w:p w:rsidR="00EF016C" w:rsidRPr="00F14236" w:rsidRDefault="00654E9D" w:rsidP="00C70BD5">
      <w:pPr>
        <w:pStyle w:val="Inhopg4"/>
        <w:rPr>
          <w:rFonts w:ascii="Calibri" w:eastAsia="Times New Roman" w:hAnsi="Calibri"/>
          <w:noProof/>
          <w:sz w:val="22"/>
          <w:szCs w:val="22"/>
          <w:lang w:val="en-US" w:eastAsia="nl-BE"/>
        </w:rPr>
      </w:pPr>
      <w:hyperlink w:anchor="_Toc288138379" w:history="1">
        <w:r w:rsidR="00EF016C" w:rsidRPr="00F14236">
          <w:rPr>
            <w:rStyle w:val="Hyperlink"/>
            <w:noProof/>
            <w:lang w:val="en-US"/>
          </w:rPr>
          <w:t>5.3.2.4</w:t>
        </w:r>
        <w:r w:rsidR="00EF016C" w:rsidRPr="00F14236">
          <w:rPr>
            <w:rFonts w:ascii="Calibri" w:eastAsia="Times New Roman" w:hAnsi="Calibri"/>
            <w:noProof/>
            <w:sz w:val="22"/>
            <w:szCs w:val="22"/>
            <w:lang w:val="en-US" w:eastAsia="nl-BE"/>
          </w:rPr>
          <w:tab/>
        </w:r>
        <w:r w:rsidR="00EF016C" w:rsidRPr="00F14236">
          <w:rPr>
            <w:rStyle w:val="Hyperlink"/>
            <w:noProof/>
            <w:lang w:val="en-US"/>
          </w:rPr>
          <w:t>Interface between morphological/syntactic and conceptual development of case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80" w:history="1">
        <w:r w:rsidR="00EF016C" w:rsidRPr="00F14236">
          <w:rPr>
            <w:rStyle w:val="Hyperlink"/>
            <w:rFonts w:ascii="Cambria" w:hAnsi="Cambria"/>
            <w:lang w:val="en-GB"/>
          </w:rPr>
          <w:t>5.3.3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  <w:lang w:val="en-GB"/>
          </w:rPr>
          <w:t>Possessive constructions</w:t>
        </w:r>
      </w:hyperlink>
    </w:p>
    <w:p w:rsidR="00EF016C" w:rsidRPr="00F14236" w:rsidRDefault="00654E9D" w:rsidP="00EF016C">
      <w:pPr>
        <w:pStyle w:val="Inhopg3"/>
        <w:rPr>
          <w:rFonts w:ascii="Calibri" w:hAnsi="Calibri"/>
          <w:sz w:val="22"/>
          <w:lang w:eastAsia="nl-BE"/>
        </w:rPr>
      </w:pPr>
      <w:hyperlink w:anchor="_Toc288138381" w:history="1">
        <w:r w:rsidR="00EF016C" w:rsidRPr="00F14236">
          <w:rPr>
            <w:rStyle w:val="Hyperlink"/>
            <w:rFonts w:ascii="Cambria" w:hAnsi="Cambria"/>
          </w:rPr>
          <w:t>5.3.4</w:t>
        </w:r>
        <w:r w:rsidR="00EF016C" w:rsidRPr="00F14236">
          <w:rPr>
            <w:rFonts w:ascii="Calibri" w:hAnsi="Calibri"/>
            <w:sz w:val="22"/>
            <w:lang w:eastAsia="nl-BE"/>
          </w:rPr>
          <w:tab/>
        </w:r>
        <w:r w:rsidR="00EF016C" w:rsidRPr="00F14236">
          <w:rPr>
            <w:rStyle w:val="Hyperlink"/>
          </w:rPr>
          <w:t>Conclusion</w:t>
        </w:r>
      </w:hyperlink>
    </w:p>
    <w:p w:rsidR="00EF016C" w:rsidRPr="00F14236" w:rsidRDefault="00654E9D" w:rsidP="00EF016C">
      <w:pPr>
        <w:jc w:val="both"/>
        <w:rPr>
          <w:rFonts w:ascii="Gentium" w:hAnsi="Gentium"/>
          <w:lang w:val="en-GB"/>
        </w:rPr>
      </w:pPr>
      <w:hyperlink w:anchor="_Toc288138382" w:history="1">
        <w:r w:rsidR="00EF016C" w:rsidRPr="00F14236">
          <w:rPr>
            <w:rStyle w:val="Hyperlink"/>
            <w:rFonts w:ascii="Cambria" w:hAnsi="Cambria"/>
            <w:snapToGrid w:val="0"/>
            <w:w w:val="0"/>
            <w:lang w:val="en-US"/>
          </w:rPr>
          <w:t>5.4</w:t>
        </w:r>
        <w:r w:rsidR="00EF016C" w:rsidRPr="00F14236">
          <w:rPr>
            <w:rFonts w:ascii="Calibri" w:eastAsia="Times New Roman" w:hAnsi="Calibri"/>
            <w:sz w:val="22"/>
            <w:lang w:val="en-US" w:eastAsia="nl-BE"/>
          </w:rPr>
          <w:tab/>
        </w:r>
        <w:r w:rsidR="00C70BD5" w:rsidRPr="00F14236">
          <w:rPr>
            <w:rFonts w:ascii="Gentium" w:eastAsia="Times New Roman" w:hAnsi="Gentium"/>
            <w:sz w:val="25"/>
            <w:szCs w:val="25"/>
            <w:lang w:val="en-US" w:eastAsia="nl-BE"/>
          </w:rPr>
          <w:t>C</w:t>
        </w:r>
        <w:r w:rsidR="00EF016C" w:rsidRPr="00F14236">
          <w:rPr>
            <w:rStyle w:val="Hyperlink"/>
            <w:rFonts w:ascii="Gentium" w:hAnsi="Gentium"/>
            <w:sz w:val="25"/>
            <w:szCs w:val="25"/>
            <w:lang w:val="en-US"/>
          </w:rPr>
          <w:t>onclusion</w:t>
        </w:r>
      </w:hyperlink>
    </w:p>
    <w:p w:rsidR="00EF016C" w:rsidRPr="00F14236" w:rsidRDefault="00EF016C" w:rsidP="004356AF">
      <w:pPr>
        <w:jc w:val="both"/>
        <w:rPr>
          <w:rFonts w:ascii="Gentium" w:hAnsi="Gentium"/>
          <w:lang w:val="en-GB"/>
        </w:rPr>
      </w:pPr>
    </w:p>
    <w:p w:rsidR="00C70BD5" w:rsidRPr="00F14236" w:rsidRDefault="00654E9D" w:rsidP="00C70BD5">
      <w:pPr>
        <w:pStyle w:val="Inhopg1"/>
        <w:spacing w:before="240"/>
        <w:rPr>
          <w:lang w:val="en-US"/>
        </w:rPr>
      </w:pPr>
      <w:hyperlink w:anchor="_Toc287950379" w:history="1">
        <w:r w:rsidR="00C70BD5" w:rsidRPr="00F14236">
          <w:rPr>
            <w:rStyle w:val="Hyperlink"/>
            <w:lang w:val="en-US"/>
          </w:rPr>
          <w:t xml:space="preserve">Chapter </w:t>
        </w:r>
      </w:hyperlink>
      <w:r w:rsidR="00C70BD5" w:rsidRPr="00F14236">
        <w:rPr>
          <w:lang w:val="en-US"/>
        </w:rPr>
        <w:t xml:space="preserve">6 General conclusion </w:t>
      </w:r>
    </w:p>
    <w:p w:rsidR="00981376" w:rsidRPr="00981376" w:rsidRDefault="00981376" w:rsidP="00981376">
      <w:pPr>
        <w:pStyle w:val="Inhopg1"/>
        <w:spacing w:before="240"/>
        <w:rPr>
          <w:lang w:val="en-US"/>
        </w:rPr>
      </w:pPr>
      <w:r w:rsidRPr="00F14236">
        <w:rPr>
          <w:lang w:val="en-US"/>
        </w:rPr>
        <w:t>References</w:t>
      </w:r>
    </w:p>
    <w:p w:rsidR="00C70BD5" w:rsidRDefault="00C70BD5" w:rsidP="004356AF">
      <w:pPr>
        <w:jc w:val="both"/>
        <w:rPr>
          <w:rFonts w:ascii="Gentium" w:hAnsi="Gentium"/>
          <w:lang w:val="en-GB"/>
        </w:rPr>
      </w:pPr>
    </w:p>
    <w:p w:rsidR="00C70BD5" w:rsidRDefault="00C70BD5" w:rsidP="004356AF">
      <w:pPr>
        <w:jc w:val="both"/>
        <w:rPr>
          <w:rFonts w:ascii="Gentium" w:hAnsi="Gentium"/>
          <w:lang w:val="en-GB"/>
        </w:rPr>
      </w:pPr>
    </w:p>
    <w:p w:rsidR="00C70BD5" w:rsidRPr="00EF016C" w:rsidRDefault="00C70BD5" w:rsidP="004356AF">
      <w:pPr>
        <w:jc w:val="both"/>
        <w:rPr>
          <w:rFonts w:ascii="Gentium" w:hAnsi="Gentium"/>
          <w:lang w:val="en-GB"/>
        </w:rPr>
      </w:pPr>
    </w:p>
    <w:sectPr w:rsidR="00C70BD5" w:rsidRPr="00EF016C" w:rsidSect="00C1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3A0E88"/>
    <w:rsid w:val="00014FCF"/>
    <w:rsid w:val="00155902"/>
    <w:rsid w:val="001C56D5"/>
    <w:rsid w:val="001D03CE"/>
    <w:rsid w:val="0028448E"/>
    <w:rsid w:val="003A0E88"/>
    <w:rsid w:val="004356AF"/>
    <w:rsid w:val="00576A74"/>
    <w:rsid w:val="00654E9D"/>
    <w:rsid w:val="008319DF"/>
    <w:rsid w:val="00981376"/>
    <w:rsid w:val="009865B6"/>
    <w:rsid w:val="009E7E2A"/>
    <w:rsid w:val="00A4659A"/>
    <w:rsid w:val="00A61D5F"/>
    <w:rsid w:val="00A756D8"/>
    <w:rsid w:val="00BC71A6"/>
    <w:rsid w:val="00BF45BF"/>
    <w:rsid w:val="00C14F17"/>
    <w:rsid w:val="00C1530D"/>
    <w:rsid w:val="00C70BD5"/>
    <w:rsid w:val="00DA0E97"/>
    <w:rsid w:val="00EF016C"/>
    <w:rsid w:val="00F14236"/>
    <w:rsid w:val="00FC4FE6"/>
    <w:rsid w:val="00F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1530D"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uiPriority w:val="39"/>
    <w:rsid w:val="00EF016C"/>
    <w:pPr>
      <w:keepNext/>
      <w:keepLines/>
      <w:widowControl w:val="0"/>
      <w:tabs>
        <w:tab w:val="right" w:leader="dot" w:pos="9061"/>
      </w:tabs>
      <w:spacing w:beforeLines="100" w:line="360" w:lineRule="auto"/>
      <w:ind w:right="567"/>
      <w:jc w:val="both"/>
    </w:pPr>
    <w:rPr>
      <w:rFonts w:ascii="Gentium" w:eastAsia="Times New Roman" w:hAnsi="Gentium"/>
      <w:b/>
      <w:bCs/>
      <w:noProof/>
      <w:sz w:val="25"/>
      <w:szCs w:val="22"/>
      <w:u w:color="999999"/>
      <w:lang w:eastAsia="nl-NL"/>
    </w:rPr>
  </w:style>
  <w:style w:type="character" w:styleId="Hyperlink">
    <w:name w:val="Hyperlink"/>
    <w:basedOn w:val="Standaardalinea-lettertype"/>
    <w:uiPriority w:val="99"/>
    <w:rsid w:val="00EF016C"/>
    <w:rPr>
      <w:color w:val="000000"/>
      <w:u w:val="none"/>
    </w:rPr>
  </w:style>
  <w:style w:type="paragraph" w:styleId="Inhopg2">
    <w:name w:val="toc 2"/>
    <w:basedOn w:val="Standaard"/>
    <w:next w:val="Standaard"/>
    <w:autoRedefine/>
    <w:uiPriority w:val="39"/>
    <w:rsid w:val="00EF016C"/>
    <w:pPr>
      <w:tabs>
        <w:tab w:val="left" w:pos="510"/>
        <w:tab w:val="right" w:leader="dot" w:pos="9061"/>
      </w:tabs>
      <w:spacing w:line="288" w:lineRule="auto"/>
      <w:ind w:left="510" w:right="567" w:hanging="510"/>
      <w:jc w:val="both"/>
    </w:pPr>
    <w:rPr>
      <w:rFonts w:ascii="Gentium" w:eastAsia="Times New Roman" w:hAnsi="Gentium"/>
      <w:bCs/>
      <w:noProof/>
      <w:sz w:val="25"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rsid w:val="00EF016C"/>
    <w:pPr>
      <w:tabs>
        <w:tab w:val="left" w:pos="1418"/>
        <w:tab w:val="right" w:leader="dot" w:pos="9061"/>
      </w:tabs>
      <w:spacing w:line="288" w:lineRule="auto"/>
      <w:ind w:left="1247" w:right="567" w:hanging="737"/>
      <w:jc w:val="both"/>
    </w:pPr>
    <w:rPr>
      <w:rFonts w:ascii="Gentium" w:eastAsia="Times New Roman" w:hAnsi="Gentium"/>
      <w:noProof/>
      <w:sz w:val="25"/>
      <w:szCs w:val="22"/>
      <w:lang w:val="en-US" w:eastAsia="nl-NL"/>
    </w:rPr>
  </w:style>
  <w:style w:type="paragraph" w:styleId="Inhopg4">
    <w:name w:val="toc 4"/>
    <w:basedOn w:val="Standaard"/>
    <w:next w:val="Standaard"/>
    <w:autoRedefine/>
    <w:rsid w:val="00C70BD5"/>
    <w:pPr>
      <w:spacing w:after="120"/>
      <w:ind w:left="720"/>
    </w:pPr>
  </w:style>
  <w:style w:type="paragraph" w:styleId="Ballontekst">
    <w:name w:val="Balloon Text"/>
    <w:basedOn w:val="Standaard"/>
    <w:link w:val="BallontekstChar"/>
    <w:rsid w:val="00014F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14FCF"/>
    <w:rPr>
      <w:rFonts w:ascii="Tahoma" w:hAnsi="Tahoma" w:cs="Tahoma"/>
      <w:sz w:val="16"/>
      <w:szCs w:val="16"/>
      <w:lang w:val="nl-NL" w:eastAsia="zh-CN"/>
    </w:rPr>
  </w:style>
  <w:style w:type="character" w:styleId="Verwijzingopmerking">
    <w:name w:val="annotation reference"/>
    <w:basedOn w:val="Standaardalinea-lettertype"/>
    <w:rsid w:val="0028448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44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8448E"/>
    <w:rPr>
      <w:lang w:val="nl-NL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844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8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Research report 2011</vt:lpstr>
    </vt:vector>
  </TitlesOfParts>
  <Company>UGent</Company>
  <LinksUpToDate>false</LinksUpToDate>
  <CharactersWithSpaces>5527</CharactersWithSpaces>
  <SharedDoc>false</SharedDoc>
  <HLinks>
    <vt:vector size="498" baseType="variant">
      <vt:variant>
        <vt:i4>1114163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_Toc287950379</vt:lpwstr>
      </vt:variant>
      <vt:variant>
        <vt:i4>1966138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_Toc288138382</vt:lpwstr>
      </vt:variant>
      <vt:variant>
        <vt:i4>1966138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_Toc288138381</vt:lpwstr>
      </vt:variant>
      <vt:variant>
        <vt:i4>1966138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_Toc288138380</vt:lpwstr>
      </vt:variant>
      <vt:variant>
        <vt:i4>1114170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_Toc288138379</vt:lpwstr>
      </vt:variant>
      <vt:variant>
        <vt:i4>1114170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_Toc288138378</vt:lpwstr>
      </vt:variant>
      <vt:variant>
        <vt:i4>1114170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_Toc288138377</vt:lpwstr>
      </vt:variant>
      <vt:variant>
        <vt:i4>1114170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_Toc288138376</vt:lpwstr>
      </vt:variant>
      <vt:variant>
        <vt:i4>1114170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_Toc288138375</vt:lpwstr>
      </vt:variant>
      <vt:variant>
        <vt:i4>1114170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_Toc288138374</vt:lpwstr>
      </vt:variant>
      <vt:variant>
        <vt:i4>1114170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_Toc288138373</vt:lpwstr>
      </vt:variant>
      <vt:variant>
        <vt:i4>1114170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_Toc288138372</vt:lpwstr>
      </vt:variant>
      <vt:variant>
        <vt:i4>1114170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_Toc288138371</vt:lpwstr>
      </vt:variant>
      <vt:variant>
        <vt:i4>1114170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_Toc288138370</vt:lpwstr>
      </vt:variant>
      <vt:variant>
        <vt:i4>1048634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_Toc288138369</vt:lpwstr>
      </vt:variant>
      <vt:variant>
        <vt:i4>1048634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_Toc288138368</vt:lpwstr>
      </vt:variant>
      <vt:variant>
        <vt:i4>1048634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_Toc288138367</vt:lpwstr>
      </vt:variant>
      <vt:variant>
        <vt:i4>1048634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_Toc288138366</vt:lpwstr>
      </vt:variant>
      <vt:variant>
        <vt:i4>1048634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_Toc288138365</vt:lpwstr>
      </vt:variant>
      <vt:variant>
        <vt:i4>1048634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_Toc288138364</vt:lpwstr>
      </vt:variant>
      <vt:variant>
        <vt:i4>1048634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_Toc288138363</vt:lpwstr>
      </vt:variant>
      <vt:variant>
        <vt:i4>1048634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_Toc288138362</vt:lpwstr>
      </vt:variant>
      <vt:variant>
        <vt:i4>1048634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_Toc288138361</vt:lpwstr>
      </vt:variant>
      <vt:variant>
        <vt:i4>1048634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_Toc288138360</vt:lpwstr>
      </vt:variant>
      <vt:variant>
        <vt:i4>1245242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_Toc288138359</vt:lpwstr>
      </vt:variant>
      <vt:variant>
        <vt:i4>1245242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_Toc288138358</vt:lpwstr>
      </vt:variant>
      <vt:variant>
        <vt:i4>1245242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_Toc288138357</vt:lpwstr>
      </vt:variant>
      <vt:variant>
        <vt:i4>1245242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_Toc288138356</vt:lpwstr>
      </vt:variant>
      <vt:variant>
        <vt:i4>1245242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_Toc288138355</vt:lpwstr>
      </vt:variant>
      <vt:variant>
        <vt:i4>1245242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_Toc288138354</vt:lpwstr>
      </vt:variant>
      <vt:variant>
        <vt:i4>1245242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_Toc288138353</vt:lpwstr>
      </vt:variant>
      <vt:variant>
        <vt:i4>1245242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_Toc288138352</vt:lpwstr>
      </vt:variant>
      <vt:variant>
        <vt:i4>1245242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_Toc288138351</vt:lpwstr>
      </vt:variant>
      <vt:variant>
        <vt:i4>1245242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_Toc288138350</vt:lpwstr>
      </vt:variant>
      <vt:variant>
        <vt:i4>1179706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_Toc288138349</vt:lpwstr>
      </vt:variant>
      <vt:variant>
        <vt:i4>1179706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_Toc288138348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_Toc287950596</vt:lpwstr>
      </vt:variant>
      <vt:variant>
        <vt:i4>2031669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_Toc287950595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_Toc287950594</vt:lpwstr>
      </vt:variant>
      <vt:variant>
        <vt:i4>2031669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_Toc287950593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_Toc287950592</vt:lpwstr>
      </vt:variant>
      <vt:variant>
        <vt:i4>2031669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_Toc287950591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_Toc287950590</vt:lpwstr>
      </vt:variant>
      <vt:variant>
        <vt:i4>1966133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_Toc287950589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_Toc287950588</vt:lpwstr>
      </vt:variant>
      <vt:variant>
        <vt:i4>1966133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_Toc287950587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_Toc287950586</vt:lpwstr>
      </vt:variant>
      <vt:variant>
        <vt:i4>1245237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_Toc287882866</vt:lpwstr>
      </vt:variant>
      <vt:variant>
        <vt:i4>1245237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_Toc287882865</vt:lpwstr>
      </vt:variant>
      <vt:variant>
        <vt:i4>1245237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_Toc287882864</vt:lpwstr>
      </vt:variant>
      <vt:variant>
        <vt:i4>1245237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_Toc287882863</vt:lpwstr>
      </vt:variant>
      <vt:variant>
        <vt:i4>1245237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_Toc287882862</vt:lpwstr>
      </vt:variant>
      <vt:variant>
        <vt:i4>1245237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_Toc287882861</vt:lpwstr>
      </vt:variant>
      <vt:variant>
        <vt:i4>1245237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_Toc287882860</vt:lpwstr>
      </vt:variant>
      <vt:variant>
        <vt:i4>1048629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_Toc287882859</vt:lpwstr>
      </vt:variant>
      <vt:variant>
        <vt:i4>1048629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_Toc287882858</vt:lpwstr>
      </vt:variant>
      <vt:variant>
        <vt:i4>1048629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_Toc287882857</vt:lpwstr>
      </vt:variant>
      <vt:variant>
        <vt:i4>1048629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_Toc287882856</vt:lpwstr>
      </vt:variant>
      <vt:variant>
        <vt:i4>1048629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_Toc287882855</vt:lpwstr>
      </vt:variant>
      <vt:variant>
        <vt:i4>1048629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_Toc287882854</vt:lpwstr>
      </vt:variant>
      <vt:variant>
        <vt:i4>1048629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_Toc287882853</vt:lpwstr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_Toc287882852</vt:lpwstr>
      </vt:variant>
      <vt:variant>
        <vt:i4>1048629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_Toc287882851</vt:lpwstr>
      </vt:variant>
      <vt:variant>
        <vt:i4>1048629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_Toc287882850</vt:lpwstr>
      </vt:variant>
      <vt:variant>
        <vt:i4>1114165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_Toc287882849</vt:lpwstr>
      </vt:variant>
      <vt:variant>
        <vt:i4>1114165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_Toc287882848</vt:lpwstr>
      </vt:variant>
      <vt:variant>
        <vt:i4>1114165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_Toc287882847</vt:lpwstr>
      </vt:variant>
      <vt:variant>
        <vt:i4>1114165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_Toc287882846</vt:lpwstr>
      </vt:variant>
      <vt:variant>
        <vt:i4>1114165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_Toc287882845</vt:lpwstr>
      </vt:variant>
      <vt:variant>
        <vt:i4>1114165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_Toc287882844</vt:lpwstr>
      </vt:variant>
      <vt:variant>
        <vt:i4>1114165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_Toc287882843</vt:lpwstr>
      </vt:variant>
      <vt:variant>
        <vt:i4>1966131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_Toc287950389</vt:lpwstr>
      </vt:variant>
      <vt:variant>
        <vt:i4>1966131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_Toc287950388</vt:lpwstr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_Toc287950387</vt:lpwstr>
      </vt:variant>
      <vt:variant>
        <vt:i4>1966131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_Toc287950386</vt:lpwstr>
      </vt:variant>
      <vt:variant>
        <vt:i4>1966131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_Toc287950385</vt:lpwstr>
      </vt:variant>
      <vt:variant>
        <vt:i4>1966131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_Toc287950384</vt:lpwstr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_Toc287950383</vt:lpwstr>
      </vt:variant>
      <vt:variant>
        <vt:i4>1966131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_Toc287950382</vt:lpwstr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_Toc287950381</vt:lpwstr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_Toc287950380</vt:lpwstr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_Toc287950379</vt:lpwstr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_Toc287950379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 2011</dc:title>
  <dc:creator>DICT</dc:creator>
  <cp:lastModifiedBy>klwillem</cp:lastModifiedBy>
  <cp:revision>2</cp:revision>
  <dcterms:created xsi:type="dcterms:W3CDTF">2011-09-06T10:03:00Z</dcterms:created>
  <dcterms:modified xsi:type="dcterms:W3CDTF">2011-09-06T10:03:00Z</dcterms:modified>
</cp:coreProperties>
</file>